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472B4"/>
          <w:spacing w:val="-1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472B4"/>
          <w:spacing w:val="-10"/>
          <w:position w:val="0"/>
          <w:sz w:val="48"/>
          <w:shd w:fill="auto" w:val="clear"/>
        </w:rPr>
      </w:pPr>
      <w:r>
        <w:rPr>
          <w:rFonts w:ascii="Arial" w:hAnsi="Arial" w:cs="Arial" w:eastAsia="Arial"/>
          <w:color w:val="0472B4"/>
          <w:spacing w:val="-10"/>
          <w:position w:val="0"/>
          <w:sz w:val="48"/>
          <w:shd w:fill="auto" w:val="clear"/>
        </w:rPr>
        <w:t xml:space="preserve">HCN Tip Sheet: Epic - MyChart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D8AE57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b/>
          <w:color w:val="D8AE57"/>
          <w:spacing w:val="0"/>
          <w:position w:val="0"/>
          <w:sz w:val="36"/>
          <w:shd w:fill="auto" w:val="clear"/>
        </w:rPr>
        <w:t xml:space="preserve">Activación de MyChart</w:t>
      </w: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FFFF00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FFFF00" w:val="clear"/>
        </w:rPr>
        <w:t xml:space="preserve">MyChart le proporciona acceso en línea a su expediente médico. Puede ayudarlo a participar en su atención médica y comunicarse con sus proveedores.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0472B4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0472B4"/>
          <w:spacing w:val="0"/>
          <w:position w:val="0"/>
          <w:sz w:val="32"/>
          <w:shd w:fill="auto" w:val="clear"/>
        </w:rPr>
        <w:t xml:space="preserve">A través de Epic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472B4"/>
          <w:spacing w:val="0"/>
          <w:position w:val="0"/>
          <w:sz w:val="32"/>
          <w:shd w:fill="auto" w:val="clear"/>
        </w:rPr>
        <w:t xml:space="preserve">1. </w:t>
      </w:r>
      <w:r>
        <w:rPr>
          <w:rFonts w:ascii="@Microsoft JhengHei" w:hAnsi="@Microsoft JhengHei" w:cs="@Microsoft JhengHei" w:eastAsia="@Microsoft JhengHei"/>
          <w:color w:val="0472B4"/>
          <w:spacing w:val="0"/>
          <w:position w:val="0"/>
          <w:sz w:val="28"/>
          <w:shd w:fill="auto" w:val="clear"/>
        </w:rPr>
        <w:t xml:space="preserve">Como usuario, puede enviar al paciente un código de activación o imprimirlo.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@Microsoft JhengHei" w:hAnsi="@Microsoft JhengHei" w:cs="@Microsoft JhengHei" w:eastAsia="@Microsoft JhengHei"/>
          <w:color w:val="0472B4"/>
          <w:spacing w:val="0"/>
          <w:position w:val="0"/>
          <w:sz w:val="28"/>
          <w:shd w:fill="auto" w:val="clear"/>
        </w:rPr>
        <w:t xml:space="preserve">2. Haga clic en el icono de la computadora junto al nombre del paciente en el guión gráfico.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@Microsoft JhengHei" w:hAnsi="@Microsoft JhengHei" w:cs="@Microsoft JhengHei" w:eastAsia="@Microsoft JhengHei"/>
          <w:color w:val="0472B4"/>
          <w:spacing w:val="0"/>
          <w:position w:val="0"/>
          <w:sz w:val="28"/>
          <w:shd w:fill="auto" w:val="clear"/>
        </w:rPr>
        <w:t xml:space="preserve">3. Esto abrirá la ventana de registro de MyChart. </w:t>
      </w:r>
      <w:r>
        <w:object w:dxaOrig="8827" w:dyaOrig="4575">
          <v:rect xmlns:o="urn:schemas-microsoft-com:office:office" xmlns:v="urn:schemas-microsoft-com:vml" id="rectole0000000000" style="width:441.350000pt;height:228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Opción 1: Activación Instantánea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Puede enviar correo electrónico a la dirección de correo electrónico del paciente y seguir los pasos del registro.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Opción 2:  Imprimir una carta de activación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El paciente se la lleva a casa y se registra más adelante. La carta de activación contiene un código que necesitará para registrarse. 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0472B4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472B4"/>
          <w:spacing w:val="0"/>
          <w:position w:val="0"/>
          <w:sz w:val="24"/>
          <w:u w:val="single"/>
          <w:shd w:fill="auto" w:val="clear"/>
        </w:rPr>
        <w:t xml:space="preserve">Activación instantánea: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0472B4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0472B4"/>
          <w:spacing w:val="0"/>
          <w:position w:val="0"/>
          <w:sz w:val="28"/>
          <w:shd w:fill="auto" w:val="clear"/>
        </w:rPr>
        <w:t xml:space="preserve">Si el paciente desea inscribirse en la oficina, puede ayudarlo a través de Epic. </w:t>
      </w:r>
    </w:p>
    <w:p>
      <w:pPr>
        <w:numPr>
          <w:ilvl w:val="0"/>
          <w:numId w:val="4"/>
        </w:numPr>
        <w:spacing w:before="0" w:after="160" w:line="259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0472B4"/>
          <w:spacing w:val="0"/>
          <w:position w:val="0"/>
          <w:sz w:val="28"/>
          <w:shd w:fill="auto" w:val="clear"/>
        </w:rPr>
        <w:t xml:space="preserve">Abra el historial clínico del paciente y vaya a la actividad de Administración de MyChart. (</w:t>
      </w:r>
      <w:r>
        <w:rPr>
          <w:rFonts w:ascii="Arial" w:hAnsi="Arial" w:cs="Arial" w:eastAsia="Arial"/>
          <w:i/>
          <w:color w:val="0472B4"/>
          <w:spacing w:val="0"/>
          <w:position w:val="0"/>
          <w:sz w:val="28"/>
          <w:shd w:fill="auto" w:val="clear"/>
        </w:rPr>
        <w:t xml:space="preserve">Esto podría estar en el menú Más actividades/</w:t>
      </w:r>
      <w:r>
        <w:rPr>
          <w:rFonts w:ascii="Arial" w:hAnsi="Arial" w:cs="Arial" w:eastAsia="Arial"/>
          <w:b/>
          <w:i/>
          <w:color w:val="0472B4"/>
          <w:spacing w:val="0"/>
          <w:position w:val="0"/>
          <w:sz w:val="28"/>
          <w:shd w:fill="auto" w:val="clear"/>
        </w:rPr>
        <w:t xml:space="preserve">More Activities</w:t>
      </w:r>
      <w:r>
        <w:rPr>
          <w:rFonts w:ascii="Arial" w:hAnsi="Arial" w:cs="Arial" w:eastAsia="Arial"/>
          <w:i/>
          <w:color w:val="0472B4"/>
          <w:spacing w:val="0"/>
          <w:position w:val="0"/>
          <w:sz w:val="28"/>
          <w:shd w:fill="auto" w:val="clear"/>
        </w:rPr>
        <w:t xml:space="preserve">). </w:t>
      </w:r>
    </w:p>
    <w:p>
      <w:pPr>
        <w:numPr>
          <w:ilvl w:val="0"/>
          <w:numId w:val="4"/>
        </w:numPr>
        <w:spacing w:before="0" w:after="160" w:line="259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0472B4"/>
          <w:spacing w:val="0"/>
          <w:position w:val="0"/>
          <w:sz w:val="28"/>
          <w:shd w:fill="auto" w:val="clear"/>
        </w:rPr>
        <w:t xml:space="preserve">Desde esta pantalla puede hacer clic en Iniciar registro (</w:t>
      </w:r>
      <w:r>
        <w:rPr>
          <w:rFonts w:ascii="Arial" w:hAnsi="Arial" w:cs="Arial" w:eastAsia="Arial"/>
          <w:b/>
          <w:color w:val="0472B4"/>
          <w:spacing w:val="0"/>
          <w:position w:val="0"/>
          <w:sz w:val="28"/>
          <w:shd w:fill="auto" w:val="clear"/>
        </w:rPr>
        <w:t xml:space="preserve">Launch Sign Up) </w:t>
      </w:r>
      <w:r>
        <w:rPr>
          <w:rFonts w:ascii="Arial" w:hAnsi="Arial" w:cs="Arial" w:eastAsia="Arial"/>
          <w:color w:val="0472B4"/>
          <w:spacing w:val="0"/>
          <w:position w:val="0"/>
          <w:sz w:val="28"/>
          <w:shd w:fill="auto" w:val="clear"/>
        </w:rPr>
        <w:t xml:space="preserve">para el paciente. </w:t>
      </w:r>
    </w:p>
    <w:p>
      <w:pPr>
        <w:numPr>
          <w:ilvl w:val="0"/>
          <w:numId w:val="4"/>
        </w:numPr>
        <w:spacing w:before="0" w:after="160" w:line="259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0472B4"/>
          <w:spacing w:val="0"/>
          <w:position w:val="0"/>
          <w:sz w:val="28"/>
          <w:shd w:fill="auto" w:val="clear"/>
        </w:rPr>
        <w:t xml:space="preserve">Esto abrirá un navegador web fuera de Epic. </w:t>
      </w:r>
    </w:p>
    <w:p>
      <w:pPr>
        <w:numPr>
          <w:ilvl w:val="0"/>
          <w:numId w:val="4"/>
        </w:numPr>
        <w:spacing w:before="0" w:after="160" w:line="259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0472B4"/>
          <w:spacing w:val="0"/>
          <w:position w:val="0"/>
          <w:sz w:val="28"/>
          <w:shd w:fill="auto" w:val="clear"/>
        </w:rPr>
        <w:t xml:space="preserve">Esto también extraerá el código de activación en la página de MyChart automáticamente.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10285" w:dyaOrig="4393">
          <v:rect xmlns:o="urn:schemas-microsoft-com:office:office" xmlns:v="urn:schemas-microsoft-com:vml" id="rectole0000000001" style="width:514.250000pt;height:219.6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   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6"/>
        </w:numPr>
        <w:spacing w:before="0" w:after="160" w:line="259"/>
        <w:ind w:right="0" w:left="720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El paciente necesitará entrar el mismo correo electrónico que tiene registrado en los datos demográficos de Epic y su fecha de nacimiento. </w:t>
      </w:r>
    </w:p>
    <w:p>
      <w:pPr>
        <w:numPr>
          <w:ilvl w:val="0"/>
          <w:numId w:val="6"/>
        </w:numPr>
        <w:spacing w:before="0" w:after="160" w:line="259"/>
        <w:ind w:right="0" w:left="720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Al llenar todos los campos Haga Click en Siguiente (Next)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010" w:dyaOrig="4350">
          <v:rect xmlns:o="urn:schemas-microsoft-com:office:office" xmlns:v="urn:schemas-microsoft-com:vml" id="rectole0000000002" style="width:400.500000pt;height:217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8"/>
        </w:numPr>
        <w:spacing w:before="0" w:after="160" w:line="259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El paciente necesitará crear un UserName y Password.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7035" w:dyaOrig="4665">
          <v:rect xmlns:o="urn:schemas-microsoft-com:office:office" xmlns:v="urn:schemas-microsoft-com:vml" id="rectole0000000003" style="width:351.750000pt;height:233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0"/>
        </w:numPr>
        <w:spacing w:before="0" w:after="160" w:line="259"/>
        <w:ind w:right="0" w:left="36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Debe escoger si desea notificaciones en el correo electrónico y/o en el celular. </w:t>
      </w:r>
    </w:p>
    <w:p>
      <w:pPr>
        <w:spacing w:before="0" w:after="160" w:line="259"/>
        <w:ind w:right="0" w:left="144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7364" w:dyaOrig="5160">
          <v:rect xmlns:o="urn:schemas-microsoft-com:office:office" xmlns:v="urn:schemas-microsoft-com:vml" id="rectole0000000004" style="width:368.200000pt;height:258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keepNext w:val="true"/>
        <w:keepLines w:val="true"/>
        <w:spacing w:before="0" w:after="0" w:line="240"/>
        <w:ind w:right="0" w:left="1440" w:firstLine="0"/>
        <w:jc w:val="left"/>
        <w:rPr>
          <w:rFonts w:ascii="Arial" w:hAnsi="Arial" w:cs="Arial" w:eastAsia="Arial"/>
          <w:color w:val="0472B4"/>
          <w:spacing w:val="0"/>
          <w:position w:val="0"/>
          <w:sz w:val="32"/>
          <w:shd w:fill="auto" w:val="clear"/>
        </w:rPr>
      </w:pPr>
    </w:p>
    <w:p>
      <w:pPr>
        <w:numPr>
          <w:ilvl w:val="0"/>
          <w:numId w:val="14"/>
        </w:numPr>
        <w:spacing w:before="0" w:after="160" w:line="259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El paciente debe aceptar los Términos y Condiciones  </w:t>
      </w:r>
    </w:p>
    <w:p>
      <w:pPr>
        <w:spacing w:before="0" w:after="0" w:line="240"/>
        <w:ind w:right="315" w:left="36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315" w:left="36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7290" w:dyaOrig="4320">
          <v:rect xmlns:o="urn:schemas-microsoft-com:office:office" xmlns:v="urn:schemas-microsoft-com:vml" id="rectole0000000005" style="width:364.500000pt;height:216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315" w:left="36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315" w:left="36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315" w:left="36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315" w:left="36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Finalmente, llegarán a la página de inicio donde se les ofrecerá un video que los guiará a través de las características del espacio MyChart.  </w:t>
      </w:r>
    </w:p>
    <w:p>
      <w:pPr>
        <w:spacing w:before="0" w:after="0" w:line="240"/>
        <w:ind w:right="315" w:left="36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315" w:left="36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315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684" w:dyaOrig="5655">
          <v:rect xmlns:o="urn:schemas-microsoft-com:office:office" xmlns:v="urn:schemas-microsoft-com:vml" id="rectole0000000006" style="width:434.200000pt;height:282.7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315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315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315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315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315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315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315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315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315" w:left="36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num w:numId="4">
    <w:abstractNumId w:val="24"/>
  </w:num>
  <w:num w:numId="6">
    <w:abstractNumId w:val="18"/>
  </w:num>
  <w:num w:numId="8">
    <w:abstractNumId w:val="12"/>
  </w:num>
  <w:num w:numId="10">
    <w:abstractNumId w:val="6"/>
  </w:num>
  <w:num w:numId="1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6.wmf" Id="docRId13" Type="http://schemas.openxmlformats.org/officeDocument/2006/relationships/image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numbering.xml" Id="docRId14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styles.xml" Id="docRId15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